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D4" w:rsidRDefault="005540D4" w:rsidP="005540D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5540D4" w:rsidRPr="005540D4" w:rsidRDefault="005540D4" w:rsidP="00554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FD5458" w:rsidRPr="001A2D3D" w:rsidRDefault="00FD5458" w:rsidP="00FD5458">
      <w:pPr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A2D3D">
        <w:rPr>
          <w:rFonts w:ascii="Times New Roman" w:hAnsi="Times New Roman" w:cs="Times New Roman"/>
          <w:sz w:val="28"/>
          <w:szCs w:val="28"/>
        </w:rPr>
        <w:t xml:space="preserve">декабрь 2018 </w:t>
      </w:r>
      <w:proofErr w:type="spellStart"/>
      <w:r w:rsidRPr="001A2D3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A2D3D">
        <w:rPr>
          <w:rFonts w:ascii="Times New Roman" w:hAnsi="Times New Roman" w:cs="Times New Roman"/>
          <w:sz w:val="28"/>
          <w:szCs w:val="28"/>
        </w:rPr>
        <w:t xml:space="preserve">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2D3D">
        <w:rPr>
          <w:rFonts w:ascii="Times New Roman" w:hAnsi="Times New Roman" w:cs="Times New Roman"/>
          <w:sz w:val="28"/>
          <w:szCs w:val="28"/>
        </w:rPr>
        <w:t xml:space="preserve">      № 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1A2D3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D3D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2D3D">
        <w:rPr>
          <w:rFonts w:ascii="Times New Roman" w:hAnsi="Times New Roman" w:cs="Times New Roman"/>
          <w:sz w:val="28"/>
          <w:szCs w:val="28"/>
        </w:rPr>
        <w:t xml:space="preserve"> декабря  2018 года</w:t>
      </w:r>
    </w:p>
    <w:p w:rsidR="00FD5458" w:rsidRPr="001A2D3D" w:rsidRDefault="00FD5458" w:rsidP="00FD54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458" w:rsidRPr="001A2D3D" w:rsidRDefault="00FD5458" w:rsidP="00FD54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D3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</w:t>
      </w:r>
    </w:p>
    <w:p w:rsidR="00FD5458" w:rsidRPr="001A2D3D" w:rsidRDefault="00FD5458" w:rsidP="00FD54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D3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r w:rsidRPr="001A2D3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</w:t>
      </w:r>
    </w:p>
    <w:p w:rsidR="00FD5458" w:rsidRPr="001A2D3D" w:rsidRDefault="00FD5458" w:rsidP="00FD54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D3D">
        <w:rPr>
          <w:rFonts w:ascii="Times New Roman" w:hAnsi="Times New Roman" w:cs="Times New Roman"/>
          <w:b w:val="0"/>
          <w:sz w:val="28"/>
          <w:szCs w:val="28"/>
        </w:rPr>
        <w:t>района Чекмагушевский</w:t>
      </w:r>
      <w:r w:rsidRPr="001A2D3D">
        <w:rPr>
          <w:rFonts w:ascii="Times New Roman" w:hAnsi="Times New Roman" w:cs="Times New Roman"/>
          <w:b w:val="0"/>
        </w:rPr>
        <w:t xml:space="preserve"> </w:t>
      </w:r>
      <w:r w:rsidRPr="001A2D3D"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 </w:t>
      </w:r>
      <w:proofErr w:type="gramStart"/>
      <w:r w:rsidRPr="001A2D3D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 w:rsidRPr="001A2D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5458" w:rsidRPr="001A2D3D" w:rsidRDefault="00FD5458" w:rsidP="00FD54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D3D"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главных администраторов доходов бюджетов </w:t>
      </w:r>
    </w:p>
    <w:p w:rsidR="00FD5458" w:rsidRPr="001A2D3D" w:rsidRDefault="00FD5458" w:rsidP="00FD54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</w:t>
      </w:r>
    </w:p>
    <w:p w:rsidR="00FD5458" w:rsidRPr="001A2D3D" w:rsidRDefault="00FD5458" w:rsidP="00FD545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5458" w:rsidRPr="001A2D3D" w:rsidRDefault="00FD5458" w:rsidP="00FD5458">
      <w:pPr>
        <w:pStyle w:val="ConsPlusNormal0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положениями Бюджетного кодекса Российской Федерации,  администрация сельского Совета  </w:t>
      </w:r>
      <w:r w:rsidRPr="00CB6DB2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A2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FD5458" w:rsidRPr="001A2D3D" w:rsidRDefault="00FD5458" w:rsidP="00FD5458">
      <w:pPr>
        <w:pStyle w:val="ConsPlusNormal0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A2D3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A2D3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A2D3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A2D3D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D5458" w:rsidRPr="001A2D3D" w:rsidRDefault="00FD5458" w:rsidP="00FD5458">
      <w:pPr>
        <w:pStyle w:val="ConsPlusNormal0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58" w:rsidRPr="001A2D3D" w:rsidRDefault="00FD5458" w:rsidP="00FD5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2D3D">
        <w:rPr>
          <w:rFonts w:ascii="Times New Roman" w:hAnsi="Times New Roman" w:cs="Times New Roman"/>
          <w:b w:val="0"/>
          <w:sz w:val="28"/>
          <w:szCs w:val="28"/>
        </w:rPr>
        <w:t xml:space="preserve">1. Утвердить перечень кодов подвидов  доходов по видам доходов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r w:rsidRPr="001A2D3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Башкортостан, главными администраторами которых являются органы местного самоуправления  сельского 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r w:rsidRPr="001A2D3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Чекмагушевский район Республики Башкортостан согласно приложению № 1 к настоящему постановлению </w:t>
      </w:r>
    </w:p>
    <w:p w:rsidR="00FD5458" w:rsidRPr="001A2D3D" w:rsidRDefault="00FD5458" w:rsidP="00FD5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2D3D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1 января  2018 года.</w:t>
      </w:r>
    </w:p>
    <w:p w:rsidR="00FD5458" w:rsidRPr="001A2D3D" w:rsidRDefault="00FD5458" w:rsidP="00FD5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2D3D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утратившими силу   постановление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r w:rsidRPr="001A2D3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Чекмагушевский район 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27 </w:t>
      </w:r>
      <w:r w:rsidRPr="001A2D3D">
        <w:rPr>
          <w:rFonts w:ascii="Times New Roman" w:hAnsi="Times New Roman" w:cs="Times New Roman"/>
          <w:b w:val="0"/>
          <w:sz w:val="28"/>
          <w:szCs w:val="28"/>
        </w:rPr>
        <w:t>декабря  2017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58</w:t>
      </w:r>
      <w:r w:rsidRPr="001A2D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2D3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администрацией сельского 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r w:rsidRPr="001A2D3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</w:t>
      </w:r>
      <w:r w:rsidRPr="001A2D3D">
        <w:rPr>
          <w:rFonts w:ascii="Times New Roman" w:hAnsi="Times New Roman" w:cs="Times New Roman"/>
          <w:b w:val="0"/>
        </w:rPr>
        <w:t xml:space="preserve"> </w:t>
      </w:r>
      <w:r w:rsidRPr="001A2D3D"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  бюджетных полномочий  главных администраторов доходов бюджетов бюджетной системы Российской Федерации» со всеми внесенными изменениями и дополнениями.</w:t>
      </w:r>
    </w:p>
    <w:p w:rsidR="00FD5458" w:rsidRPr="00CB6DB2" w:rsidRDefault="00FD5458" w:rsidP="00FD5458">
      <w:pPr>
        <w:shd w:val="clear" w:color="auto" w:fill="FFFFFF"/>
        <w:spacing w:after="634" w:line="317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CB6DB2">
        <w:rPr>
          <w:rFonts w:ascii="Times New Roman" w:hAnsi="Times New Roman" w:cs="Times New Roman"/>
          <w:sz w:val="28"/>
          <w:szCs w:val="28"/>
        </w:rPr>
        <w:t>4</w:t>
      </w:r>
      <w:r w:rsidRPr="00CB6DB2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Start"/>
      <w:r w:rsidRPr="00CB6DB2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CB6DB2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FD5458" w:rsidRPr="00CB6DB2" w:rsidRDefault="00FD5458" w:rsidP="00FD5458">
      <w:pPr>
        <w:shd w:val="clear" w:color="auto" w:fill="FFFFFF"/>
        <w:spacing w:after="634" w:line="317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CB6DB2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Р.Л. Хафизов</w:t>
      </w:r>
      <w:r>
        <w:rPr>
          <w:rFonts w:ascii="Times New Roman" w:hAnsi="Times New Roman"/>
          <w:sz w:val="28"/>
          <w:szCs w:val="28"/>
        </w:rPr>
        <w:t>а</w:t>
      </w:r>
    </w:p>
    <w:p w:rsidR="00FD5458" w:rsidRDefault="00FD5458" w:rsidP="00FD545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D5458" w:rsidRPr="001A2D3D" w:rsidRDefault="00FD5458" w:rsidP="00FD545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458" w:rsidRPr="001A2D3D" w:rsidRDefault="00FD5458" w:rsidP="00FD54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D3D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FD5458" w:rsidRPr="001A2D3D" w:rsidRDefault="00FD5458" w:rsidP="00FD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D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D3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5458" w:rsidRPr="001A2D3D" w:rsidRDefault="00FD5458" w:rsidP="00FD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сельского поселения</w:t>
      </w:r>
    </w:p>
    <w:p w:rsidR="00FD5458" w:rsidRPr="001A2D3D" w:rsidRDefault="00FD5458" w:rsidP="00FD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B6DB2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A2D3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D5458" w:rsidRPr="001A2D3D" w:rsidRDefault="00FD5458" w:rsidP="00FD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 района</w:t>
      </w:r>
    </w:p>
    <w:p w:rsidR="00FD5458" w:rsidRPr="001A2D3D" w:rsidRDefault="00FD5458" w:rsidP="00FD54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Чекмагушевский район     </w:t>
      </w:r>
    </w:p>
    <w:p w:rsidR="00FD5458" w:rsidRPr="001A2D3D" w:rsidRDefault="00FD5458" w:rsidP="00FD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Республики Башкортостан</w:t>
      </w:r>
    </w:p>
    <w:p w:rsidR="00FD5458" w:rsidRPr="001A2D3D" w:rsidRDefault="00FD5458" w:rsidP="00FD54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D3D">
        <w:rPr>
          <w:rFonts w:ascii="Times New Roman" w:hAnsi="Times New Roman" w:cs="Times New Roman"/>
          <w:sz w:val="28"/>
          <w:szCs w:val="28"/>
        </w:rPr>
        <w:t xml:space="preserve">   от  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2D3D">
        <w:rPr>
          <w:rFonts w:ascii="Times New Roman" w:hAnsi="Times New Roman" w:cs="Times New Roman"/>
          <w:sz w:val="28"/>
          <w:szCs w:val="28"/>
        </w:rPr>
        <w:t xml:space="preserve">  декабря   2018 г.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1A2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458" w:rsidRPr="001A2D3D" w:rsidRDefault="00FD5458" w:rsidP="00FD54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5458" w:rsidRPr="001A2D3D" w:rsidRDefault="00FD5458" w:rsidP="00FD5458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>Перечень</w:t>
      </w:r>
    </w:p>
    <w:p w:rsidR="00FD5458" w:rsidRPr="001A2D3D" w:rsidRDefault="00FD5458" w:rsidP="00FD545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кодов подвидов доходов по видам доходов, главными администраторами которых являются органы местного </w:t>
      </w:r>
    </w:p>
    <w:p w:rsidR="00FD5458" w:rsidRPr="001A2D3D" w:rsidRDefault="00FD5458" w:rsidP="00FD545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 </w:t>
      </w:r>
      <w:r w:rsidRPr="00CB6DB2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A2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Чекмагушевский район </w:t>
      </w:r>
    </w:p>
    <w:p w:rsidR="00FD5458" w:rsidRPr="001A2D3D" w:rsidRDefault="00FD5458" w:rsidP="00FD545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FD5458" w:rsidRPr="001A2D3D" w:rsidRDefault="00FD5458" w:rsidP="00FD54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458" w:rsidRPr="001A2D3D" w:rsidRDefault="00FD5458" w:rsidP="00FD54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1A2D3D">
        <w:rPr>
          <w:rFonts w:ascii="Times New Roman" w:hAnsi="Times New Roman" w:cs="Times New Roman"/>
          <w:sz w:val="28"/>
          <w:szCs w:val="28"/>
        </w:rPr>
        <w:t>подвида доходов классификации доходов бюджетов</w:t>
      </w:r>
      <w:proofErr w:type="gramEnd"/>
      <w:r w:rsidRPr="001A2D3D">
        <w:rPr>
          <w:rFonts w:ascii="Times New Roman" w:hAnsi="Times New Roman" w:cs="Times New Roman"/>
          <w:sz w:val="28"/>
          <w:szCs w:val="28"/>
        </w:rPr>
        <w:t xml:space="preserve"> по видам доходов:</w:t>
      </w:r>
    </w:p>
    <w:p w:rsidR="00FD5458" w:rsidRPr="001A2D3D" w:rsidRDefault="00FD5458" w:rsidP="00FD5458">
      <w:pPr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5458" w:rsidRPr="001A2D3D" w:rsidRDefault="00FD5458" w:rsidP="00FD5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FD5458" w:rsidRPr="001A2D3D" w:rsidRDefault="00FD5458" w:rsidP="00FD545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Look w:val="0000"/>
      </w:tblPr>
      <w:tblGrid>
        <w:gridCol w:w="1368"/>
        <w:gridCol w:w="8532"/>
      </w:tblGrid>
      <w:tr w:rsidR="00FD5458" w:rsidRPr="00CB6DB2" w:rsidTr="00C37D5D">
        <w:trPr>
          <w:trHeight w:val="7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458" w:rsidRPr="00CB6DB2" w:rsidRDefault="00FD5458" w:rsidP="00C3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FD5458" w:rsidRPr="00CB6DB2" w:rsidRDefault="00FD5458" w:rsidP="00C3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подвида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Подвид дохода</w:t>
            </w:r>
          </w:p>
        </w:tc>
      </w:tr>
      <w:tr w:rsidR="00FD5458" w:rsidRPr="00CB6DB2" w:rsidTr="00C3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1000 110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5458" w:rsidRPr="00CB6DB2" w:rsidTr="00C3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4000 110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FD5458" w:rsidRPr="001A2D3D" w:rsidRDefault="00FD5458" w:rsidP="00FD54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lastRenderedPageBreak/>
        <w:t xml:space="preserve">000 2 02 20077 10 0000 150 «Субсидии бюджетам сельских поселений на </w:t>
      </w:r>
      <w:proofErr w:type="spellStart"/>
      <w:r w:rsidRPr="001A2D3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A2D3D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собственности»» установить следующую структуру кода подвида доходов:</w:t>
      </w:r>
    </w:p>
    <w:p w:rsidR="00FD5458" w:rsidRPr="001A2D3D" w:rsidRDefault="00FD5458" w:rsidP="00FD54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341"/>
      </w:tblGrid>
      <w:tr w:rsidR="00FD5458" w:rsidRPr="00CB6DB2" w:rsidTr="00C37D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7217</w:t>
            </w: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8" w:rsidRPr="00CB6DB2" w:rsidRDefault="00FD5458" w:rsidP="00C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FD5458" w:rsidRPr="00CB6DB2" w:rsidTr="00C37D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7240 15</w:t>
            </w: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8" w:rsidRPr="00CB6DB2" w:rsidRDefault="00FD5458" w:rsidP="00C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B6DB2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FD5458" w:rsidRPr="001A2D3D" w:rsidRDefault="00FD5458" w:rsidP="00FD54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458" w:rsidRPr="001A2D3D" w:rsidRDefault="00FD5458" w:rsidP="00FD54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>000 2 02 29999 10 0000 150 «Прочие субсидии бюджетам сельских поселений» установить следующую структуру кода подвида доходов:</w:t>
      </w:r>
    </w:p>
    <w:p w:rsidR="00FD5458" w:rsidRPr="001A2D3D" w:rsidRDefault="00FD5458" w:rsidP="00FD54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7801"/>
      </w:tblGrid>
      <w:tr w:rsidR="00FD5458" w:rsidRPr="00CB6DB2" w:rsidTr="00C37D5D">
        <w:trPr>
          <w:trHeight w:val="645"/>
        </w:trPr>
        <w:tc>
          <w:tcPr>
            <w:tcW w:w="1662" w:type="dxa"/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7211</w:t>
            </w:r>
            <w:r w:rsidRPr="00CB6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801" w:type="dxa"/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FD5458" w:rsidRPr="00CB6DB2" w:rsidTr="00C37D5D">
        <w:trPr>
          <w:trHeight w:val="645"/>
        </w:trPr>
        <w:tc>
          <w:tcPr>
            <w:tcW w:w="1662" w:type="dxa"/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7235</w:t>
            </w:r>
            <w:r w:rsidRPr="00CB6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801" w:type="dxa"/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B6DB2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FD5458" w:rsidRPr="00CB6DB2" w:rsidTr="00C37D5D">
        <w:trPr>
          <w:trHeight w:val="645"/>
        </w:trPr>
        <w:tc>
          <w:tcPr>
            <w:tcW w:w="1662" w:type="dxa"/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7236</w:t>
            </w:r>
            <w:r w:rsidRPr="00CB6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801" w:type="dxa"/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FD5458" w:rsidRPr="00CB6DB2" w:rsidTr="00C37D5D">
        <w:trPr>
          <w:trHeight w:val="645"/>
        </w:trPr>
        <w:tc>
          <w:tcPr>
            <w:tcW w:w="1662" w:type="dxa"/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 w:rsidRPr="00CB6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801" w:type="dxa"/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FD5458" w:rsidRPr="00CB6DB2" w:rsidTr="00C37D5D">
        <w:trPr>
          <w:trHeight w:val="645"/>
        </w:trPr>
        <w:tc>
          <w:tcPr>
            <w:tcW w:w="1662" w:type="dxa"/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7247</w:t>
            </w:r>
            <w:r w:rsidRPr="00CB6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801" w:type="dxa"/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ind w:right="25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B6DB2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FD5458" w:rsidRPr="001A2D3D" w:rsidRDefault="00FD5458" w:rsidP="00FD54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5458" w:rsidRPr="001A2D3D" w:rsidRDefault="00FD5458" w:rsidP="00FD5458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>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FD5458" w:rsidRPr="001A2D3D" w:rsidRDefault="00FD5458" w:rsidP="00FD5458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FD5458" w:rsidRPr="00CB6DB2" w:rsidTr="00C37D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5555</w:t>
            </w:r>
            <w:r w:rsidRPr="00CB6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D5458" w:rsidRPr="00CB6DB2" w:rsidTr="00C37D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7231 150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модернизации систем наружного освещения населенных пунктов Республики Башкортостан</w:t>
            </w:r>
          </w:p>
        </w:tc>
      </w:tr>
      <w:tr w:rsidR="00FD5458" w:rsidRPr="00CB6DB2" w:rsidTr="00C37D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 xml:space="preserve"> 7247 1</w:t>
            </w:r>
            <w:r w:rsidRPr="00CB6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на </w:t>
            </w:r>
            <w:r w:rsidRPr="00CB6D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FD5458" w:rsidRPr="00CB6DB2" w:rsidTr="00C37D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7404</w:t>
            </w:r>
            <w:r w:rsidRPr="00CB6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FD5458" w:rsidRPr="00CB6DB2" w:rsidTr="00C37D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7405</w:t>
            </w:r>
            <w:r w:rsidRPr="00CB6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FD5458" w:rsidRPr="00CB6DB2" w:rsidTr="00C37D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CB6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CB6DB2" w:rsidRDefault="00FD5458" w:rsidP="00C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B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 муниципальная практика»</w:t>
            </w:r>
          </w:p>
        </w:tc>
      </w:tr>
    </w:tbl>
    <w:p w:rsidR="00FD5458" w:rsidRPr="001A2D3D" w:rsidRDefault="00FD5458" w:rsidP="00FD54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5458" w:rsidRPr="001A2D3D" w:rsidRDefault="00FD5458" w:rsidP="00FD54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>000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p w:rsidR="00FD5458" w:rsidRPr="001A2D3D" w:rsidRDefault="00FD5458" w:rsidP="00FD54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FD5458" w:rsidRPr="004820DD" w:rsidTr="00C37D5D">
        <w:tc>
          <w:tcPr>
            <w:tcW w:w="1418" w:type="dxa"/>
          </w:tcPr>
          <w:p w:rsidR="00FD5458" w:rsidRPr="004820DD" w:rsidRDefault="00FD5458" w:rsidP="00C37D5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DD">
              <w:rPr>
                <w:rFonts w:ascii="Times New Roman" w:hAnsi="Times New Roman" w:cs="Times New Roman"/>
                <w:sz w:val="28"/>
                <w:szCs w:val="28"/>
              </w:rPr>
              <w:t>6100 150</w:t>
            </w:r>
          </w:p>
        </w:tc>
        <w:tc>
          <w:tcPr>
            <w:tcW w:w="8363" w:type="dxa"/>
            <w:vAlign w:val="center"/>
          </w:tcPr>
          <w:p w:rsidR="00FD5458" w:rsidRPr="004820DD" w:rsidRDefault="00FD5458" w:rsidP="00C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DD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FD5458" w:rsidRPr="004820DD" w:rsidTr="00C37D5D">
        <w:tc>
          <w:tcPr>
            <w:tcW w:w="1418" w:type="dxa"/>
          </w:tcPr>
          <w:p w:rsidR="00FD5458" w:rsidRPr="004820DD" w:rsidRDefault="00FD5458" w:rsidP="00C37D5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DD">
              <w:rPr>
                <w:rFonts w:ascii="Times New Roman" w:hAnsi="Times New Roman" w:cs="Times New Roman"/>
                <w:sz w:val="28"/>
                <w:szCs w:val="28"/>
              </w:rPr>
              <w:t>6200 150</w:t>
            </w:r>
          </w:p>
        </w:tc>
        <w:tc>
          <w:tcPr>
            <w:tcW w:w="8363" w:type="dxa"/>
            <w:vAlign w:val="center"/>
          </w:tcPr>
          <w:p w:rsidR="00FD5458" w:rsidRPr="004820DD" w:rsidRDefault="00FD5458" w:rsidP="00C37D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DD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FD5458" w:rsidRPr="004820DD" w:rsidTr="00C37D5D">
        <w:tc>
          <w:tcPr>
            <w:tcW w:w="1418" w:type="dxa"/>
          </w:tcPr>
          <w:p w:rsidR="00FD5458" w:rsidRPr="004820DD" w:rsidRDefault="00FD5458" w:rsidP="00C37D5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DD">
              <w:rPr>
                <w:rFonts w:ascii="Times New Roman" w:hAnsi="Times New Roman" w:cs="Times New Roman"/>
                <w:sz w:val="28"/>
                <w:szCs w:val="28"/>
              </w:rPr>
              <w:t>6300 150</w:t>
            </w:r>
          </w:p>
        </w:tc>
        <w:tc>
          <w:tcPr>
            <w:tcW w:w="8363" w:type="dxa"/>
            <w:vAlign w:val="center"/>
          </w:tcPr>
          <w:p w:rsidR="00FD5458" w:rsidRPr="004820DD" w:rsidRDefault="00FD5458" w:rsidP="00C37D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DD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FD5458" w:rsidRPr="004820DD" w:rsidTr="00C37D5D">
        <w:tc>
          <w:tcPr>
            <w:tcW w:w="1418" w:type="dxa"/>
          </w:tcPr>
          <w:p w:rsidR="00FD5458" w:rsidRPr="004820DD" w:rsidRDefault="00FD5458" w:rsidP="00C37D5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DD">
              <w:rPr>
                <w:rFonts w:ascii="Times New Roman" w:hAnsi="Times New Roman" w:cs="Times New Roman"/>
                <w:sz w:val="28"/>
                <w:szCs w:val="28"/>
              </w:rPr>
              <w:t>6500 150</w:t>
            </w:r>
          </w:p>
        </w:tc>
        <w:tc>
          <w:tcPr>
            <w:tcW w:w="8363" w:type="dxa"/>
            <w:vAlign w:val="center"/>
          </w:tcPr>
          <w:p w:rsidR="00FD5458" w:rsidRPr="004820DD" w:rsidRDefault="00FD5458" w:rsidP="00C37D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D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</w:t>
            </w:r>
            <w:r w:rsidRPr="00482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современной городской среды</w:t>
            </w:r>
          </w:p>
        </w:tc>
      </w:tr>
    </w:tbl>
    <w:p w:rsidR="00FD5458" w:rsidRPr="00132C61" w:rsidRDefault="00FD5458" w:rsidP="00FD5458"/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FD5458" w:rsidRDefault="00FD5458" w:rsidP="00FD5458">
      <w:pPr>
        <w:rPr>
          <w:rFonts w:ascii="Times New Roman" w:hAnsi="Times New Roman"/>
          <w:sz w:val="28"/>
          <w:szCs w:val="28"/>
        </w:rPr>
      </w:pPr>
    </w:p>
    <w:p w:rsidR="000731AD" w:rsidRPr="000731AD" w:rsidRDefault="000731AD" w:rsidP="000A43F0">
      <w:pPr>
        <w:pStyle w:val="ConsPlusNormal0"/>
        <w:widowControl/>
        <w:ind w:left="792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731AD" w:rsidRPr="000731AD" w:rsidSect="00AE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5B58"/>
    <w:rsid w:val="00035D8A"/>
    <w:rsid w:val="000731AD"/>
    <w:rsid w:val="00087F03"/>
    <w:rsid w:val="000A43F0"/>
    <w:rsid w:val="000A57F6"/>
    <w:rsid w:val="001B218C"/>
    <w:rsid w:val="002F6AB6"/>
    <w:rsid w:val="0033229A"/>
    <w:rsid w:val="00340FD2"/>
    <w:rsid w:val="00394B1A"/>
    <w:rsid w:val="004C68CA"/>
    <w:rsid w:val="004C7B8E"/>
    <w:rsid w:val="005540D4"/>
    <w:rsid w:val="006A53DC"/>
    <w:rsid w:val="006C144C"/>
    <w:rsid w:val="00737088"/>
    <w:rsid w:val="008A02F7"/>
    <w:rsid w:val="00905E12"/>
    <w:rsid w:val="00924342"/>
    <w:rsid w:val="009709D2"/>
    <w:rsid w:val="00A641C2"/>
    <w:rsid w:val="00A9039C"/>
    <w:rsid w:val="00AE2084"/>
    <w:rsid w:val="00B57395"/>
    <w:rsid w:val="00B7077D"/>
    <w:rsid w:val="00D21032"/>
    <w:rsid w:val="00D36001"/>
    <w:rsid w:val="00DB49A8"/>
    <w:rsid w:val="00DE2DBE"/>
    <w:rsid w:val="00EB3DBA"/>
    <w:rsid w:val="00F75B58"/>
    <w:rsid w:val="00FA176D"/>
    <w:rsid w:val="00FD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84"/>
  </w:style>
  <w:style w:type="paragraph" w:styleId="1">
    <w:name w:val="heading 1"/>
    <w:basedOn w:val="a"/>
    <w:next w:val="a"/>
    <w:link w:val="10"/>
    <w:qFormat/>
    <w:rsid w:val="001B218C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75B58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eastAsia="Calibri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75B58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eastAsia="Calibri" w:hAnsi="Arial New Bash" w:cs="Arial New Bash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75B5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75B58"/>
    <w:rPr>
      <w:rFonts w:ascii="Arial New Bash" w:eastAsia="Calibri" w:hAnsi="Arial New Bash" w:cs="Arial New Bash"/>
      <w:b/>
      <w:bCs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75B58"/>
    <w:rPr>
      <w:rFonts w:ascii="Arial New Bash" w:eastAsia="Calibri" w:hAnsi="Arial New Bash" w:cs="Arial New Bash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F75B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semiHidden/>
    <w:unhideWhenUsed/>
    <w:rsid w:val="00F75B58"/>
    <w:rPr>
      <w:color w:val="0000FF"/>
      <w:u w:val="single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locked/>
    <w:rsid w:val="00F75B58"/>
    <w:rPr>
      <w:rFonts w:ascii="Calibri" w:eastAsia="Calibri" w:hAnsi="Calibri" w:cs="Calibri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unhideWhenUsed/>
    <w:qFormat/>
    <w:rsid w:val="00F75B58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F75B58"/>
    <w:rPr>
      <w:rFonts w:ascii="Times New Roman" w:eastAsia="Times New Roman" w:hAnsi="Times New Roman" w:cs="Times New Roman"/>
    </w:rPr>
  </w:style>
  <w:style w:type="paragraph" w:styleId="a7">
    <w:name w:val="footnote text"/>
    <w:basedOn w:val="a"/>
    <w:link w:val="a6"/>
    <w:uiPriority w:val="99"/>
    <w:semiHidden/>
    <w:unhideWhenUsed/>
    <w:rsid w:val="00F75B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Текст примечания Знак"/>
    <w:basedOn w:val="a0"/>
    <w:link w:val="a9"/>
    <w:semiHidden/>
    <w:locked/>
    <w:rsid w:val="00F75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annotation text"/>
    <w:basedOn w:val="a"/>
    <w:link w:val="a8"/>
    <w:semiHidden/>
    <w:unhideWhenUsed/>
    <w:rsid w:val="00F7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F75B5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a"/>
    <w:uiPriority w:val="99"/>
    <w:semiHidden/>
    <w:unhideWhenUsed/>
    <w:rsid w:val="00F75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semiHidden/>
    <w:locked/>
    <w:rsid w:val="00F75B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semiHidden/>
    <w:unhideWhenUsed/>
    <w:rsid w:val="00F75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концевой сноски Знак"/>
    <w:basedOn w:val="a0"/>
    <w:link w:val="af"/>
    <w:semiHidden/>
    <w:locked/>
    <w:rsid w:val="00F75B58"/>
    <w:rPr>
      <w:rFonts w:ascii="Times New Roman" w:eastAsia="Times New Roman" w:hAnsi="Times New Roman" w:cs="Times New Roman"/>
    </w:rPr>
  </w:style>
  <w:style w:type="paragraph" w:styleId="af">
    <w:name w:val="endnote text"/>
    <w:basedOn w:val="a"/>
    <w:link w:val="ae"/>
    <w:semiHidden/>
    <w:unhideWhenUsed/>
    <w:rsid w:val="00F75B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Знак"/>
    <w:basedOn w:val="a0"/>
    <w:link w:val="af1"/>
    <w:semiHidden/>
    <w:locked/>
    <w:rsid w:val="00F75B58"/>
    <w:rPr>
      <w:rFonts w:ascii="Times New Roman" w:eastAsia="Times New Roman" w:hAnsi="Times New Roman" w:cs="Times New Roman"/>
      <w:sz w:val="28"/>
    </w:rPr>
  </w:style>
  <w:style w:type="paragraph" w:styleId="af1">
    <w:name w:val="Body Text"/>
    <w:basedOn w:val="a"/>
    <w:link w:val="af0"/>
    <w:semiHidden/>
    <w:unhideWhenUsed/>
    <w:rsid w:val="00F75B58"/>
    <w:pPr>
      <w:spacing w:after="12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Основной текст с отступом Знак"/>
    <w:basedOn w:val="a0"/>
    <w:link w:val="af3"/>
    <w:semiHidden/>
    <w:locked/>
    <w:rsid w:val="00F75B5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ody Text Indent"/>
    <w:basedOn w:val="a"/>
    <w:link w:val="af2"/>
    <w:semiHidden/>
    <w:unhideWhenUsed/>
    <w:rsid w:val="00F75B5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2 Знак"/>
    <w:basedOn w:val="a0"/>
    <w:link w:val="20"/>
    <w:semiHidden/>
    <w:locked/>
    <w:rsid w:val="00F75B58"/>
    <w:rPr>
      <w:rFonts w:ascii="Arial New Bash" w:hAnsi="Arial New Bash" w:cs="Arial New Bash"/>
      <w:sz w:val="18"/>
      <w:szCs w:val="18"/>
    </w:rPr>
  </w:style>
  <w:style w:type="paragraph" w:styleId="20">
    <w:name w:val="Body Text 2"/>
    <w:basedOn w:val="a"/>
    <w:link w:val="2"/>
    <w:semiHidden/>
    <w:unhideWhenUsed/>
    <w:rsid w:val="00F75B58"/>
    <w:pPr>
      <w:spacing w:after="120" w:line="480" w:lineRule="auto"/>
    </w:pPr>
    <w:rPr>
      <w:rFonts w:ascii="Arial New Bash" w:hAnsi="Arial New Bash" w:cs="Arial New Bash"/>
      <w:sz w:val="18"/>
      <w:szCs w:val="18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F75B5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F75B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F75B58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F75B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1">
    <w:name w:val="Текст примечания Знак1"/>
    <w:basedOn w:val="a0"/>
    <w:link w:val="a9"/>
    <w:semiHidden/>
    <w:rsid w:val="00F75B58"/>
    <w:rPr>
      <w:sz w:val="20"/>
      <w:szCs w:val="20"/>
    </w:rPr>
  </w:style>
  <w:style w:type="character" w:customStyle="1" w:styleId="af4">
    <w:name w:val="Тема примечания Знак"/>
    <w:basedOn w:val="a8"/>
    <w:link w:val="af5"/>
    <w:uiPriority w:val="99"/>
    <w:semiHidden/>
    <w:locked/>
    <w:rsid w:val="00F75B58"/>
    <w:rPr>
      <w:b/>
      <w:bCs/>
    </w:rPr>
  </w:style>
  <w:style w:type="paragraph" w:styleId="af5">
    <w:name w:val="annotation subject"/>
    <w:basedOn w:val="a9"/>
    <w:next w:val="a9"/>
    <w:link w:val="af4"/>
    <w:uiPriority w:val="99"/>
    <w:semiHidden/>
    <w:unhideWhenUsed/>
    <w:rsid w:val="00F75B58"/>
    <w:rPr>
      <w:b/>
      <w:bCs/>
    </w:rPr>
  </w:style>
  <w:style w:type="character" w:customStyle="1" w:styleId="12">
    <w:name w:val="Текст выноски Знак1"/>
    <w:basedOn w:val="a0"/>
    <w:link w:val="af6"/>
    <w:uiPriority w:val="99"/>
    <w:semiHidden/>
    <w:locked/>
    <w:rsid w:val="00F75B58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12"/>
    <w:uiPriority w:val="99"/>
    <w:semiHidden/>
    <w:unhideWhenUsed/>
    <w:rsid w:val="00F7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F75B58"/>
    <w:rPr>
      <w:rFonts w:ascii="Arial" w:hAnsi="Arial" w:cs="Arial"/>
    </w:rPr>
  </w:style>
  <w:style w:type="paragraph" w:customStyle="1" w:styleId="ConsPlusNormal0">
    <w:name w:val="ConsPlusNormal"/>
    <w:link w:val="ConsPlusNormal"/>
    <w:rsid w:val="00F75B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F75B58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Без интервала1"/>
    <w:uiPriority w:val="99"/>
    <w:rsid w:val="00F75B5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7">
    <w:name w:val="Знак Знак Знак Знак"/>
    <w:basedOn w:val="a"/>
    <w:uiPriority w:val="99"/>
    <w:rsid w:val="00F75B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÷¬__ ÷¬__ ÷¬__ ÷¬__"/>
    <w:basedOn w:val="a"/>
    <w:uiPriority w:val="99"/>
    <w:rsid w:val="00F75B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75B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tyle29">
    <w:name w:val="Style29"/>
    <w:basedOn w:val="a"/>
    <w:uiPriority w:val="99"/>
    <w:rsid w:val="00F75B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F7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75B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10">
    <w:name w:val="Основной текст 2 Знак1"/>
    <w:basedOn w:val="a0"/>
    <w:link w:val="20"/>
    <w:semiHidden/>
    <w:rsid w:val="00F75B58"/>
  </w:style>
  <w:style w:type="character" w:customStyle="1" w:styleId="af9">
    <w:name w:val="Текст выноски Знак"/>
    <w:basedOn w:val="a0"/>
    <w:link w:val="af6"/>
    <w:uiPriority w:val="99"/>
    <w:semiHidden/>
    <w:rsid w:val="00F75B58"/>
    <w:rPr>
      <w:rFonts w:ascii="Tahoma" w:hAnsi="Tahoma" w:cs="Tahoma"/>
      <w:sz w:val="16"/>
      <w:szCs w:val="16"/>
    </w:rPr>
  </w:style>
  <w:style w:type="character" w:customStyle="1" w:styleId="15">
    <w:name w:val="Основной текст с отступом Знак1"/>
    <w:basedOn w:val="a0"/>
    <w:link w:val="af3"/>
    <w:semiHidden/>
    <w:rsid w:val="00F75B58"/>
  </w:style>
  <w:style w:type="character" w:customStyle="1" w:styleId="apple-converted-space">
    <w:name w:val="apple-converted-space"/>
    <w:basedOn w:val="a0"/>
    <w:rsid w:val="00F75B58"/>
  </w:style>
  <w:style w:type="character" w:customStyle="1" w:styleId="16">
    <w:name w:val="Текст сноски Знак1"/>
    <w:basedOn w:val="a0"/>
    <w:link w:val="a7"/>
    <w:uiPriority w:val="99"/>
    <w:semiHidden/>
    <w:rsid w:val="00F75B58"/>
    <w:rPr>
      <w:sz w:val="20"/>
      <w:szCs w:val="20"/>
    </w:rPr>
  </w:style>
  <w:style w:type="character" w:customStyle="1" w:styleId="17">
    <w:name w:val="Верхний колонтитул Знак1"/>
    <w:basedOn w:val="a0"/>
    <w:link w:val="ab"/>
    <w:uiPriority w:val="99"/>
    <w:semiHidden/>
    <w:rsid w:val="00F75B58"/>
  </w:style>
  <w:style w:type="character" w:customStyle="1" w:styleId="18">
    <w:name w:val="Тема примечания Знак1"/>
    <w:basedOn w:val="11"/>
    <w:link w:val="af5"/>
    <w:uiPriority w:val="99"/>
    <w:semiHidden/>
    <w:rsid w:val="00F75B58"/>
    <w:rPr>
      <w:b/>
      <w:bCs/>
    </w:rPr>
  </w:style>
  <w:style w:type="character" w:customStyle="1" w:styleId="19">
    <w:name w:val="Основной текст Знак1"/>
    <w:basedOn w:val="a0"/>
    <w:link w:val="af1"/>
    <w:semiHidden/>
    <w:rsid w:val="00F75B58"/>
  </w:style>
  <w:style w:type="character" w:customStyle="1" w:styleId="211">
    <w:name w:val="Основной текст с отступом 2 Знак1"/>
    <w:basedOn w:val="a0"/>
    <w:link w:val="22"/>
    <w:semiHidden/>
    <w:rsid w:val="00F75B58"/>
  </w:style>
  <w:style w:type="character" w:customStyle="1" w:styleId="1a">
    <w:name w:val="Нижний колонтитул Знак1"/>
    <w:basedOn w:val="a0"/>
    <w:link w:val="ad"/>
    <w:semiHidden/>
    <w:rsid w:val="00F75B58"/>
  </w:style>
  <w:style w:type="character" w:customStyle="1" w:styleId="1b">
    <w:name w:val="Текст концевой сноски Знак1"/>
    <w:basedOn w:val="a0"/>
    <w:link w:val="af"/>
    <w:semiHidden/>
    <w:rsid w:val="00F75B58"/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rsid w:val="00F75B58"/>
    <w:rPr>
      <w:sz w:val="16"/>
      <w:szCs w:val="16"/>
    </w:rPr>
  </w:style>
  <w:style w:type="paragraph" w:styleId="afa">
    <w:name w:val="List Paragraph"/>
    <w:basedOn w:val="a"/>
    <w:uiPriority w:val="34"/>
    <w:qFormat/>
    <w:rsid w:val="00035D8A"/>
    <w:pPr>
      <w:ind w:left="720"/>
      <w:contextualSpacing/>
    </w:pPr>
  </w:style>
  <w:style w:type="character" w:styleId="afb">
    <w:name w:val="line number"/>
    <w:basedOn w:val="a0"/>
    <w:uiPriority w:val="99"/>
    <w:semiHidden/>
    <w:unhideWhenUsed/>
    <w:rsid w:val="00035D8A"/>
  </w:style>
  <w:style w:type="character" w:customStyle="1" w:styleId="10">
    <w:name w:val="Заголовок 1 Знак"/>
    <w:basedOn w:val="a0"/>
    <w:link w:val="1"/>
    <w:rsid w:val="001B21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nsPlusNonformat">
    <w:name w:val="ConsPlusNonformat"/>
    <w:rsid w:val="001B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B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E47E-0EFF-4F0F-A6ED-8B7DA2B6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21</cp:revision>
  <cp:lastPrinted>2017-11-30T06:39:00Z</cp:lastPrinted>
  <dcterms:created xsi:type="dcterms:W3CDTF">2017-11-29T06:37:00Z</dcterms:created>
  <dcterms:modified xsi:type="dcterms:W3CDTF">2019-01-10T10:10:00Z</dcterms:modified>
</cp:coreProperties>
</file>