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955E3D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EF6D13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 </w:t>
            </w:r>
            <w:r w:rsidR="00FE11EC"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="00FE11EC"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="00FE11EC"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="00FE11EC"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="00FE11EC"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E307CD" w:rsidRDefault="00E307CD" w:rsidP="00E307CD">
      <w:pPr>
        <w:pStyle w:val="a7"/>
        <w:rPr>
          <w:caps/>
          <w:spacing w:val="-20"/>
          <w:sz w:val="32"/>
          <w:szCs w:val="32"/>
        </w:rPr>
      </w:pPr>
    </w:p>
    <w:p w:rsidR="00FE11EC" w:rsidRPr="005C464A" w:rsidRDefault="002666A1" w:rsidP="005C464A">
      <w:pPr>
        <w:pStyle w:val="a7"/>
        <w:jc w:val="both"/>
        <w:rPr>
          <w:sz w:val="40"/>
          <w:szCs w:val="40"/>
        </w:rPr>
      </w:pPr>
      <w:r>
        <w:rPr>
          <w:caps/>
          <w:spacing w:val="-20"/>
          <w:sz w:val="32"/>
          <w:szCs w:val="32"/>
        </w:rPr>
        <w:t xml:space="preserve">      </w:t>
      </w:r>
      <w:r w:rsidR="000B24E4"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20F80">
        <w:rPr>
          <w:caps/>
          <w:spacing w:val="-20"/>
          <w:sz w:val="32"/>
          <w:szCs w:val="32"/>
        </w:rPr>
        <w:t xml:space="preserve">                                                      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CA4F96" w:rsidRDefault="00247C35" w:rsidP="00247C35">
      <w:pPr>
        <w:pStyle w:val="a7"/>
        <w:ind w:firstLine="6096"/>
        <w:jc w:val="both"/>
        <w:rPr>
          <w:sz w:val="24"/>
          <w:szCs w:val="24"/>
        </w:rPr>
      </w:pPr>
    </w:p>
    <w:p w:rsidR="000A1730" w:rsidRPr="000A1730" w:rsidRDefault="000A1730" w:rsidP="000A1730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bookmark4"/>
      <w:bookmarkEnd w:id="0"/>
      <w:r w:rsidRPr="000A1730">
        <w:rPr>
          <w:rFonts w:ascii="Times New Roman" w:hAnsi="Times New Roman" w:cs="Times New Roman"/>
          <w:color w:val="000000"/>
          <w:sz w:val="24"/>
          <w:szCs w:val="24"/>
        </w:rPr>
        <w:t xml:space="preserve">"Об утверждении Положения о порядке списания основных средств, находящихся в собственности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 муниципального района Чекмагушевский  район  Республики Башкортостан"</w:t>
      </w:r>
    </w:p>
    <w:p w:rsidR="000A1730" w:rsidRPr="000A1730" w:rsidRDefault="000A1730" w:rsidP="000A17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"/>
      <w:r w:rsidRPr="000A1730">
        <w:rPr>
          <w:rFonts w:ascii="Times New Roman" w:hAnsi="Times New Roman" w:cs="Times New Roman"/>
          <w:sz w:val="24"/>
          <w:szCs w:val="24"/>
        </w:rPr>
        <w:t>В целях повышения эффективности учета, осуществления контроля за сохранностью и рациональным использованием муниципального имущества сельского поселения Имянликулевский сельсовет муниципального района Чекмагушевский район Республики Башкортостан, в соответствии со</w:t>
      </w:r>
      <w:r w:rsidRPr="000A173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ст. 14</w:t>
        </w:r>
      </w:hyperlink>
      <w:r w:rsidRPr="000A173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9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35</w:t>
        </w:r>
      </w:hyperlink>
      <w:r w:rsidRPr="000A173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43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Федерального закона "Об общих принципах организации местного самоуправления в Российской Федерации", Совет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решил: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sub_1000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Положение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о порядке списания основных средств, находящихся в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 район Республики Башкортостан.</w:t>
      </w:r>
    </w:p>
    <w:p w:rsidR="000A1730" w:rsidRPr="000A1730" w:rsidRDefault="000A1730" w:rsidP="000A173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     2. Настоящее решение подлежит обнародованию в установленном порядке и размещению на официальном информационном сайте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в сети Интернет.</w:t>
      </w:r>
    </w:p>
    <w:p w:rsidR="000A1730" w:rsidRPr="000A1730" w:rsidRDefault="000A1730" w:rsidP="000A173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    4.  Контроль исполнения настоящего решения возложить на комиссию по социально экономическим вопросам.</w:t>
      </w:r>
    </w:p>
    <w:p w:rsidR="000A1730" w:rsidRPr="000A1730" w:rsidRDefault="000A1730" w:rsidP="000A173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0A1730" w:rsidRPr="000A1730" w:rsidRDefault="000A173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Имянликулевский сельсовет</w:t>
      </w:r>
    </w:p>
    <w:p w:rsidR="000A1730" w:rsidRPr="000A1730" w:rsidRDefault="000A173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A1730" w:rsidRPr="000A1730" w:rsidRDefault="000A173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Чекмагушевский район</w:t>
      </w:r>
    </w:p>
    <w:p w:rsidR="000A1730" w:rsidRPr="000A1730" w:rsidRDefault="000A173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   Р.Л. Хафизова</w:t>
      </w:r>
    </w:p>
    <w:p w:rsidR="000A1730" w:rsidRPr="000A1730" w:rsidRDefault="00327D9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A1730" w:rsidRPr="000A1730">
        <w:rPr>
          <w:rFonts w:ascii="Times New Roman" w:hAnsi="Times New Roman" w:cs="Times New Roman"/>
          <w:sz w:val="24"/>
          <w:szCs w:val="24"/>
        </w:rPr>
        <w:t xml:space="preserve"> </w:t>
      </w:r>
      <w:r w:rsidR="000A1730">
        <w:rPr>
          <w:rFonts w:ascii="Times New Roman" w:hAnsi="Times New Roman" w:cs="Times New Roman"/>
          <w:sz w:val="24"/>
          <w:szCs w:val="24"/>
        </w:rPr>
        <w:t>апреля</w:t>
      </w:r>
      <w:r w:rsidR="000A1730" w:rsidRPr="000A1730">
        <w:rPr>
          <w:rFonts w:ascii="Times New Roman" w:hAnsi="Times New Roman" w:cs="Times New Roman"/>
          <w:sz w:val="24"/>
          <w:szCs w:val="24"/>
        </w:rPr>
        <w:t xml:space="preserve"> 2020 г.</w:t>
      </w:r>
    </w:p>
    <w:p w:rsidR="000A1730" w:rsidRPr="000A1730" w:rsidRDefault="000A1730" w:rsidP="000A17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 </w:t>
      </w:r>
      <w:r w:rsidR="00327D90">
        <w:rPr>
          <w:rFonts w:ascii="Times New Roman" w:hAnsi="Times New Roman" w:cs="Times New Roman"/>
          <w:sz w:val="24"/>
          <w:szCs w:val="24"/>
        </w:rPr>
        <w:t>44</w:t>
      </w:r>
    </w:p>
    <w:p w:rsidR="000A1730" w:rsidRPr="000A1730" w:rsidRDefault="000A1730" w:rsidP="000A1730">
      <w:pPr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730" w:rsidRPr="000A1730" w:rsidRDefault="000A1730" w:rsidP="000A173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                                             </w:t>
      </w:r>
      <w:r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>Приложение</w:t>
      </w:r>
    </w:p>
    <w:p w:rsidR="000A1730" w:rsidRPr="000A1730" w:rsidRDefault="000A1730" w:rsidP="000A173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к </w:t>
      </w:r>
      <w:hyperlink w:anchor="sub_0" w:history="1">
        <w:r w:rsidRPr="000A1730">
          <w:rPr>
            <w:rStyle w:val="ae"/>
            <w:rFonts w:ascii="Times New Roman" w:hAnsi="Times New Roman"/>
            <w:b w:val="0"/>
            <w:color w:val="000000"/>
            <w:sz w:val="24"/>
            <w:szCs w:val="24"/>
          </w:rPr>
          <w:t>решению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</w:t>
      </w: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>Совета</w:t>
      </w:r>
    </w:p>
    <w:p w:rsidR="000A1730" w:rsidRPr="000A1730" w:rsidRDefault="000A1730" w:rsidP="000A1730">
      <w:pPr>
        <w:spacing w:after="0"/>
        <w:ind w:firstLine="697"/>
        <w:jc w:val="right"/>
        <w:rPr>
          <w:rStyle w:val="ad"/>
          <w:rFonts w:ascii="Times New Roman" w:hAnsi="Times New Roman" w:cs="Times New Roman"/>
          <w:b w:val="0"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сельского поселения                             </w:t>
      </w:r>
    </w:p>
    <w:p w:rsidR="000A1730" w:rsidRPr="000A1730" w:rsidRDefault="000A1730" w:rsidP="000A1730">
      <w:pPr>
        <w:spacing w:after="0"/>
        <w:ind w:firstLine="697"/>
        <w:jc w:val="right"/>
        <w:rPr>
          <w:rStyle w:val="ad"/>
          <w:rFonts w:ascii="Times New Roman" w:hAnsi="Times New Roman" w:cs="Times New Roman"/>
          <w:b w:val="0"/>
          <w:sz w:val="24"/>
          <w:szCs w:val="24"/>
        </w:rPr>
      </w:pPr>
      <w:r>
        <w:rPr>
          <w:rStyle w:val="ad"/>
          <w:rFonts w:ascii="Times New Roman" w:hAnsi="Times New Roman" w:cs="Times New Roman"/>
          <w:b w:val="0"/>
          <w:sz w:val="24"/>
          <w:szCs w:val="24"/>
        </w:rPr>
        <w:t>Имянликулевский</w:t>
      </w: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сельсовет</w:t>
      </w:r>
    </w:p>
    <w:p w:rsidR="000A1730" w:rsidRPr="000A1730" w:rsidRDefault="000A1730" w:rsidP="000A173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</w:p>
    <w:p w:rsidR="000A1730" w:rsidRPr="000A1730" w:rsidRDefault="000A1730" w:rsidP="000A173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Чекмагушевский  район</w:t>
      </w:r>
    </w:p>
    <w:p w:rsidR="000A1730" w:rsidRPr="000A1730" w:rsidRDefault="000A1730" w:rsidP="000A173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Республики Башкортостан</w:t>
      </w:r>
    </w:p>
    <w:p w:rsidR="000A1730" w:rsidRPr="000A1730" w:rsidRDefault="000A1730" w:rsidP="000A1730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</w:t>
      </w:r>
      <w:r w:rsidR="00327D90">
        <w:rPr>
          <w:rStyle w:val="ad"/>
          <w:rFonts w:ascii="Times New Roman" w:hAnsi="Times New Roman" w:cs="Times New Roman"/>
          <w:b w:val="0"/>
          <w:sz w:val="24"/>
          <w:szCs w:val="24"/>
        </w:rPr>
        <w:t>от 21</w:t>
      </w:r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20 г"/>
        </w:smartTagPr>
        <w:r w:rsidRPr="000A1730">
          <w:rPr>
            <w:rStyle w:val="ad"/>
            <w:rFonts w:ascii="Times New Roman" w:hAnsi="Times New Roman" w:cs="Times New Roman"/>
            <w:b w:val="0"/>
            <w:sz w:val="24"/>
            <w:szCs w:val="24"/>
          </w:rPr>
          <w:t>2020 г</w:t>
        </w:r>
      </w:smartTag>
      <w:r w:rsidRPr="000A1730">
        <w:rPr>
          <w:rStyle w:val="ad"/>
          <w:rFonts w:ascii="Times New Roman" w:hAnsi="Times New Roman" w:cs="Times New Roman"/>
          <w:b w:val="0"/>
          <w:sz w:val="24"/>
          <w:szCs w:val="24"/>
        </w:rPr>
        <w:t xml:space="preserve">. № </w:t>
      </w:r>
      <w:r w:rsidR="00327D90">
        <w:rPr>
          <w:rStyle w:val="ad"/>
          <w:rFonts w:ascii="Times New Roman" w:hAnsi="Times New Roman" w:cs="Times New Roman"/>
          <w:b w:val="0"/>
          <w:sz w:val="24"/>
          <w:szCs w:val="24"/>
        </w:rPr>
        <w:t>44</w:t>
      </w:r>
    </w:p>
    <w:p w:rsidR="000A1730" w:rsidRPr="000A1730" w:rsidRDefault="000A1730" w:rsidP="000A17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73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  <w:r w:rsidRPr="000A1730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порядке списания основных средств, находящихся в собственности сельского поселения Имянликулевский сельсовет муниципального района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</w:t>
      </w:r>
      <w:r w:rsidRPr="000A1730">
        <w:rPr>
          <w:rFonts w:ascii="Times New Roman" w:hAnsi="Times New Roman" w:cs="Times New Roman"/>
          <w:color w:val="auto"/>
          <w:sz w:val="24"/>
          <w:szCs w:val="24"/>
        </w:rPr>
        <w:t>Чекмагушевский район Республики Башкортостан</w:t>
      </w:r>
    </w:p>
    <w:p w:rsidR="000A1730" w:rsidRPr="000A1730" w:rsidRDefault="000A1730" w:rsidP="000A17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730">
        <w:rPr>
          <w:rFonts w:ascii="Times New Roman" w:hAnsi="Times New Roman" w:cs="Times New Roman"/>
          <w:color w:val="auto"/>
          <w:sz w:val="24"/>
          <w:szCs w:val="24"/>
        </w:rPr>
        <w:t>1. Общие положения</w:t>
      </w:r>
    </w:p>
    <w:p w:rsidR="000A1730" w:rsidRPr="000A1730" w:rsidRDefault="000A1730" w:rsidP="000A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списания движимого и недвижимого имущества, находящегося в собственности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(далее - имущество) и закрепленного на праве хозяйственного ведения за муниципальными унитарными предприятиями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(далее – муниципальные  предприятия) или на праве оперативного управления за муниципальными учреждениями и казенными предприятиями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(далее – муниципальные  учреждения, казенные предприятия), а также имущества, составляющего казну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переданного в аренду, безвозмездное пользование, доверительное управление иным организациям либо свободного от прав третьих лиц, за исключением: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музейных предметов и коллекций, включенных в состав Музейного фонда Российской Федерации;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документов, включенных в Архивный фонд Российской Федерации и (или) Национальный библиотечный фонд.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1.2. Основные понятия, применяемые в настоящем Положении: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Cs/>
          <w:sz w:val="24"/>
          <w:szCs w:val="24"/>
        </w:rPr>
        <w:t>списание имущества</w:t>
      </w:r>
      <w:r w:rsidRPr="000A1730">
        <w:rPr>
          <w:rFonts w:ascii="Times New Roman" w:hAnsi="Times New Roman" w:cs="Times New Roman"/>
          <w:sz w:val="24"/>
          <w:szCs w:val="24"/>
        </w:rPr>
        <w:t xml:space="preserve"> - комплекс действий, связанных с признанием такого имущества непригодным для дальнейшего использования по целевому назначению и (или) распоряжению вследствие полной или частичной утраты потребительских свойств, в том числе физического или морального износа, либо выбывшим из владения, пользования </w:t>
      </w:r>
      <w:r w:rsidRPr="000A1730">
        <w:rPr>
          <w:rFonts w:ascii="Times New Roman" w:hAnsi="Times New Roman" w:cs="Times New Roman"/>
          <w:sz w:val="24"/>
          <w:szCs w:val="24"/>
        </w:rPr>
        <w:lastRenderedPageBreak/>
        <w:t>и распоряжения вследствие гибели или уничтожения, а также с невозможностью установления его местонахождения;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Style w:val="ad"/>
          <w:rFonts w:ascii="Times New Roman" w:hAnsi="Times New Roman" w:cs="Times New Roman"/>
          <w:bCs/>
          <w:sz w:val="24"/>
          <w:szCs w:val="24"/>
        </w:rPr>
        <w:t>учредитель</w:t>
      </w:r>
      <w:r w:rsidRPr="000A1730">
        <w:rPr>
          <w:rFonts w:ascii="Times New Roman" w:hAnsi="Times New Roman" w:cs="Times New Roman"/>
          <w:sz w:val="24"/>
          <w:szCs w:val="24"/>
        </w:rPr>
        <w:t xml:space="preserve"> – муниципальный орган, осуществляющий функции и полномочия учредителя муниципального учреждения, предприятия 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730">
        <w:rPr>
          <w:rFonts w:ascii="Times New Roman" w:hAnsi="Times New Roman" w:cs="Times New Roman"/>
          <w:color w:val="auto"/>
          <w:sz w:val="24"/>
          <w:szCs w:val="24"/>
        </w:rPr>
        <w:t>2. Порядок принятия решений о списании имущества</w:t>
      </w:r>
    </w:p>
    <w:p w:rsidR="000A1730" w:rsidRPr="000A1730" w:rsidRDefault="000A1730" w:rsidP="000A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2.1. Решение о списании имущества принимается в случаях, если: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а)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износа, и восстановить его невозможно или экономически нецелесообразно;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б) имущество выбыло из владения, пользования и распоряжения вследствие гибели или уничтожения, в том числе помимо воли владельца, а также вследствие невозможности установления его местонахождения;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в) отсутствует возможность реализации имущества (для недвижимого имущества) или передачи другим организациям. Торги по реализации недвижимого имущества, по передаче прав на недвижимое имущество должны быть признаны несостоявшимися не менее 2 раз по причине отсутствия заявок на участие в торгах.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2.2. Решение о списании движимого имущества (кроме особо ценного движимого имущества), закрепленного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с учетом стоимости его единицы в следующем порядке: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до 50 тыс. рублей - указанными учреждениями и предприятиями самостоятельно;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движимого имущества балансовой стоимостью свыше 50 тыс. рублей - указанными учреждениями и предприятиями по согласованию с их учредителем.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2.3. Решение о списании особо ценного движимого имущества, закрепленного на праве оперативного управления за муниципальными бюджетными и автономными учреждениями либо приобретенного за счет средств, выделенных учредителем, принимается этими учреждениями по согласованию с их учредителем.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2.4. Решение о списании движимого имущества, находящегося в хозяйственном ведении муниципальных предприятий, принимается этими предприятиями самостоятельно.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lastRenderedPageBreak/>
        <w:t>В случае списания транспортных средств и сельскохозяйственной техники муниципальные предприятия уведомляют учредителя в течение 5 дней после списания.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2.5. Решение о списании недвижимого имущества, находящегося у муниципальных автономных учреждений и приобретенного за счет средств от приносящей доход деятельности, а также движимого имущества (в том числе особо ценного движимого имущества), находящегося у муниципальных бюджетных и автономных учреждений и приобретенного за счет средств от приносящей доход деятельности, принимается этими учреждениями самостоятельно с последующим уведомлением учредителя о списании указанного имущества в течение 5 дней после списания.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2.6. Решение о списании недвижимого имущества, закрепленного на праве хозяйственного ведения за муниципальными предприятиями или на праве оперативного управления за муниципальными учреждениями и казенными предприятиями либо приобретенного за счет средств, выделенных их учредителем, принимается этими организациями по согласованию с их учредителем.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2.7. Решение о списании недвижимого имущества, находящегося у муниципальных бюджетных учреждений на праве оперативного управления и приобретенного за счет средств от приносящей доход деятельности, принимается этими учреждениями по согласованию с их учредителем.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2.8. Решение о списании имущества, составляющего казну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свободного от прав третьих лиц, принимается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2.9. Решение о списании имущества, составляющего казну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и переданного в аренду, безвозмездное пользование, доверительное управление иным организациям, принимается этими организациями по согласованию с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pStyle w:val="1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A1730">
        <w:rPr>
          <w:rFonts w:ascii="Times New Roman" w:hAnsi="Times New Roman" w:cs="Times New Roman"/>
          <w:color w:val="auto"/>
          <w:sz w:val="24"/>
          <w:szCs w:val="24"/>
        </w:rPr>
        <w:t xml:space="preserve">      3. Порядок списания имущества</w:t>
      </w:r>
    </w:p>
    <w:p w:rsidR="000A1730" w:rsidRPr="000A1730" w:rsidRDefault="000A1730" w:rsidP="000A17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3.1. Для определения непригодности имущества для дальнейшего использования по целевому назначению, невозможности или экономической нецелесообразности его восстановления, а также для оформления необходимой документации по списанию в муниципальных учреждениях, муниципальных и казенных предприятиях, иных организациях (далее - организации) приказом руководителя создается постоянно действующая комиссия (далее - комиссия).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3.2. В компетенцию комиссии входит: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lastRenderedPageBreak/>
        <w:t>осмотр имущества, подлежащего списанию, с использованием необходимой технической документации, заключения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специализированной организации, данных бухгалтерского учета;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определение возможности/невозможности или экономической целесообразности восстановления данного имущества;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установление причин списания имущества (физический и (или) моральный износ, нарушение условий содержания и (или) эксплуатации, аварии, стихийные бедствия и иные чрезвычайные ситуации, длительное неиспользование и другие причины);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выявление лиц, по вине которых произошло преждевременное выбытие имущества из эксплуатации, внесение предложений о привлечении виновных лиц к ответственности, установленной законодательством;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определение возможности использования отдельных комплектующих деталей, узлов и материалов списываемого имущества и их оценка исходя из текущей рыночной стоимости;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составление акта о списании имущества в зависимости от вида списываемого имущества по установленной форме и подготовка пакета документов на списание для согласования в установленном порядке.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Акт на списание имущества утверждается руководителем организации.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3.3. Разборка и демонтаж имущества, указанного в </w:t>
      </w:r>
      <w:hyperlink w:anchor="sub_1022" w:history="1">
        <w:r w:rsidRPr="00327D9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пунктах 2.2</w:t>
        </w:r>
      </w:hyperlink>
      <w:r w:rsidRPr="00327D9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023" w:history="1">
        <w:r w:rsidRPr="00327D9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2.3</w:t>
        </w:r>
      </w:hyperlink>
      <w:r w:rsidRPr="00327D9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026" w:history="1">
        <w:r w:rsidRPr="00327D9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2.6-2.9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настоящего Положения, до согласования его списания не допускаются.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Разборка, демонтаж и транспортировка в отношении: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списываемого недвижимого имущества казны сельского поселения Имянликулевский сельсовет муниципального района Чекмагушевский район Республики Башкортостан осуществляется за счет средств бюджета сельского поселения Имянликулевский сельсовет муниципального района Чекмагушевский район Республики Башкортостан;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списываемого движимого имущества казны сельского поселения Имянликулевский сельсовет муниципального района Чекмагушевский район Республики Башкортостан осуществляется за счет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730">
        <w:rPr>
          <w:rFonts w:ascii="Times New Roman" w:hAnsi="Times New Roman" w:cs="Times New Roman"/>
          <w:sz w:val="24"/>
          <w:szCs w:val="24"/>
        </w:rPr>
        <w:t>сельского поселения Имянликулевский сельсовет муниципального района Чекмагушевский район Республики Башкортостан либо за счет пользователя этого имущества, если такое условие предусмотрено договором пользования.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Отдельные комплектующие детали, узлы и материалы разобранного или демонтированного оборудования, пригодные для дальнейшего использования, приходуются по текущей рыночной стоимости, а непригодные к дальнейшей эксплуатации подлежат утилизации в установленном порядке.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lastRenderedPageBreak/>
        <w:t>Детали и узлы, изготовленные с применением драгоценных металлов, подлежат сдаче в Государственный фонд драгоценных металлов и драгоценных камней Республики Башкортостан, а детали и узлы, изготовленные из цветных металлов и не используемые для ремонта других машин, инструментов, приборов и оборудования, - сдаче организациям, занимающимся сбором лома цветных металлов.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3.4. Истечение установленных сроков эксплуатации (службы) имущества не может служить основанием для его списания, если оно по своему техническому состоянию или после ремонта пригодно для дальнейшего использования по прямому назначению.</w:t>
      </w:r>
    </w:p>
    <w:p w:rsidR="000A1730" w:rsidRPr="000A1730" w:rsidRDefault="000A1730" w:rsidP="000A17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730">
        <w:rPr>
          <w:rFonts w:ascii="Times New Roman" w:hAnsi="Times New Roman" w:cs="Times New Roman"/>
          <w:color w:val="auto"/>
          <w:sz w:val="24"/>
          <w:szCs w:val="24"/>
        </w:rPr>
        <w:t>4. Порядок согласования с учредителем списания имущества</w:t>
      </w:r>
    </w:p>
    <w:p w:rsidR="000A1730" w:rsidRPr="000A1730" w:rsidRDefault="000A1730" w:rsidP="000A1730">
      <w:pPr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4.1. Организации, указанные в </w:t>
      </w:r>
      <w:hyperlink w:anchor="sub_1022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пунктах 2.2-2.9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настоящего Положения, для согласования списания объектов основных средств представляют в Администрацию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 следующие документы: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а) заявление о согласовании списания объектов основных средств;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б) заверенные в установленном порядке копии приказа о создании комиссии по списанию объектов основных средств и протокола заседания комиссии;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в) заполненные в установленном порядке: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инвентарную карточку учета объектов основных средств, заверенную главным бухгалтером и печатью организации (при наличии);</w:t>
      </w:r>
    </w:p>
    <w:p w:rsidR="000A1730" w:rsidRPr="000A1730" w:rsidRDefault="000A1730" w:rsidP="000A1730">
      <w:pPr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акт о списании объекта основных средств (оригинал, 2 экземпляра);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г) техническую документацию на объект недвижимости;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д) копию паспорта транспортного средства;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е) выписку из Единого государственного реестра недвижимости об объекте недвижимого имущества;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ж) выписку из Единого государственного реестра недвижимости на земельный участок, на котором располагается списываемый объект недвижимого имущества;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з) справку о принадлежности недвижимого имущества к объектам культурного наследия, выданную уполномоченным органом по охране объектов культурного наследия;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и) справку о принадлежности объекта недвижимого имущества к объектам гражданской обороны, выданную уполномоченным органом по решению задач гражданской обороны, предупреждения и ликвидации чрезвычайных ситуаций в Республике Башкортостан;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lastRenderedPageBreak/>
        <w:t>к) заключение специализированной организации о техническом состоянии объекта основных средств (срок действия заключения - 6 месяцев с момента выдачи заключения на момент обращения о согласовании списания);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л) копии информационного сообщения о проведении торгов, итогового протокола проведения торгов (в случае, если объект недвижимости списывается на основании </w:t>
      </w:r>
      <w:hyperlink w:anchor="sub_1213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подпункта "в" пункта 2.1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При списании имущества, выбывшего по причине аварий, пожаров, дорожно-транспортных происшествий, гибели или порчи вследствие стихийных бедствий, хищений, к акту о списании объекта основных средств дополнительно прилагаются: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копия акта (справки) об аварии (хищении, пожаре, дорожно-транспортном происшествии, стихийном бедствии), выданная уполномоченным органом (организацией);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информация о причинах, вызвавших аварию, а также о мерах, принятых в отношении виновных лиц;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справка о возмещении ущерба за счет виновных лиц или документы, подтверждающие невозможность такого возмещения.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4.2. Обращения организаций о согласовании списания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рассматриваются в течение 30 дней: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в отношении движимого имущества –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в отношении недвижимого имущества - Межведомственной комиссией по рассмотрению вопросов списания муниципального имущества, расположенного на территории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(далее - межведомственная комиссия),</w:t>
      </w:r>
      <w:r w:rsidRPr="000A17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1730">
        <w:rPr>
          <w:rFonts w:ascii="Times New Roman" w:hAnsi="Times New Roman" w:cs="Times New Roman"/>
          <w:sz w:val="24"/>
          <w:szCs w:val="24"/>
        </w:rPr>
        <w:t>создаваемой при Администрации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Состав и положение о межведомственной комиссии утверждаются Администрацией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4.3.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отказывает в согласовании списания имущества в следующих случаях: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непредставление (представление не в полном объеме) документов, указанных в </w:t>
      </w:r>
      <w:hyperlink w:anchor="sub_1041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пункте 4.1</w:t>
        </w:r>
      </w:hyperlink>
      <w:r w:rsidRPr="000A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30">
        <w:rPr>
          <w:rFonts w:ascii="Times New Roman" w:hAnsi="Times New Roman" w:cs="Times New Roman"/>
          <w:sz w:val="24"/>
          <w:szCs w:val="24"/>
        </w:rPr>
        <w:t>настоящего Положения (за исключением документов, указанных в</w:t>
      </w:r>
      <w:r w:rsidRPr="000A173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w:anchor="sub_104107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подпунктах "г"</w:t>
        </w:r>
      </w:hyperlink>
      <w:r w:rsidRPr="000A1730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w:anchor="sub_104109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"е"-"ц" пункта 4.1</w:t>
        </w:r>
      </w:hyperlink>
      <w:r w:rsidRPr="000A1730">
        <w:rPr>
          <w:rFonts w:ascii="Times New Roman" w:hAnsi="Times New Roman" w:cs="Times New Roman"/>
          <w:sz w:val="24"/>
          <w:szCs w:val="24"/>
        </w:rPr>
        <w:t>, которые в случае непредставления Администрации муниципального района Чекмагушевский район Республики Башкортостан запрашивает в порядке межведомственного взаимодействия самостоятельно);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lastRenderedPageBreak/>
        <w:t xml:space="preserve">истечение срока действия заключения, указанного в </w:t>
      </w:r>
      <w:hyperlink w:anchor="sub_104113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подпункте "к" пункта 4.1</w:t>
        </w:r>
      </w:hyperlink>
      <w:r w:rsidRPr="000A17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1730">
        <w:rPr>
          <w:rFonts w:ascii="Times New Roman" w:hAnsi="Times New Roman" w:cs="Times New Roman"/>
          <w:sz w:val="24"/>
          <w:szCs w:val="24"/>
        </w:rPr>
        <w:t>настоящего Положения;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представленные документы не подтверждают наличие оснований для списания имущества, предусмотренных </w:t>
      </w:r>
      <w:hyperlink w:anchor="sub_1021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пунктом 2.1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представленные документы содержат информацию о наличии обстоятельств, предусмотренных </w:t>
      </w:r>
      <w:hyperlink w:anchor="sub_1034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пунктом 3.4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имущество является объектом культурного наследия или объектом гражданской обороны;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существует наличие потребности в данном имуществе у муниципальных  органов власти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муниципальных предприятий, муниципальных учреждений и казенных предприятий.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4.4. Уведомление о согласовании или отказе в согласовании списания имущества направляется Администрацией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обратившимся организациям в письменном виде по указанному в обращении адресу в течение указанного в </w:t>
      </w:r>
      <w:hyperlink w:anchor="sub_1042" w:history="1">
        <w:r w:rsidRPr="000A1730">
          <w:rPr>
            <w:rStyle w:val="ae"/>
            <w:rFonts w:ascii="Times New Roman" w:hAnsi="Times New Roman"/>
            <w:b w:val="0"/>
            <w:color w:val="auto"/>
            <w:sz w:val="24"/>
            <w:szCs w:val="24"/>
          </w:rPr>
          <w:t>пункте 4.2</w:t>
        </w:r>
      </w:hyperlink>
      <w:r w:rsidRPr="000A1730">
        <w:rPr>
          <w:rFonts w:ascii="Times New Roman" w:hAnsi="Times New Roman" w:cs="Times New Roman"/>
          <w:sz w:val="24"/>
          <w:szCs w:val="24"/>
        </w:rPr>
        <w:t xml:space="preserve"> настоящего Положения срока рассмотрения обращения.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4.5. Лица, виновные в уничтожении или повреждении муниципального имущества 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Башкортостан, несут ответственность в порядке, установленном законодательством.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Суммы, поступившие в возмещение ущерба, причиненного муниципальному имуществу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вследствие действия (бездействия) или принятого решения виновных лиц, перечисляются в бюджет сельского поселения Имянликулевский сельсовет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4.6. Денежные средства, вырученные организациями (за исключением муниципальных предприятий, муниципальных бюджетных и автономных учреждений, казенных предприятий) в результате продажи материальных ценностей, полученных от разборки и демонтажа объектов основных средств, а также сдачи их в металлолом, за вычетом расходов, связанных с указанными разборкой, демонтажем и транспортировкой, перечисляются в бюджет сельского поселения Имянликулевский сельсовет муниципального района Чекмагушевский район Республики Башкортостан.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4.7. После согласования списания объектов основных средств в Администрации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 и отражения в актах о списании основных средств результатов списания объектов организации, списывающие муниципальное имущество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в месячный </w:t>
      </w:r>
      <w:r w:rsidRPr="000A1730">
        <w:rPr>
          <w:rFonts w:ascii="Times New Roman" w:hAnsi="Times New Roman" w:cs="Times New Roman"/>
          <w:sz w:val="24"/>
          <w:szCs w:val="24"/>
        </w:rPr>
        <w:lastRenderedPageBreak/>
        <w:t xml:space="preserve">срок представляют в Комитет по управлению собственностью Министерства земельных и имущественных отношений Республики Башкортостан по Чекмагушевскому району обновленные сведения в Реестр муниципального имущества муниципального района Чекмагушевский район Республики Башкортостан. </w:t>
      </w:r>
    </w:p>
    <w:p w:rsidR="000A1730" w:rsidRPr="000A1730" w:rsidRDefault="000A1730" w:rsidP="000A173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1730">
        <w:rPr>
          <w:rFonts w:ascii="Times New Roman" w:hAnsi="Times New Roman" w:cs="Times New Roman"/>
          <w:color w:val="auto"/>
          <w:sz w:val="24"/>
          <w:szCs w:val="24"/>
        </w:rPr>
        <w:t>5. Заключительные положения</w:t>
      </w:r>
    </w:p>
    <w:p w:rsidR="000A1730" w:rsidRPr="000A1730" w:rsidRDefault="000A1730" w:rsidP="000A1730">
      <w:pPr>
        <w:rPr>
          <w:rFonts w:ascii="Times New Roman" w:hAnsi="Times New Roman" w:cs="Times New Roman"/>
          <w:sz w:val="24"/>
          <w:szCs w:val="24"/>
        </w:rPr>
      </w:pP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 xml:space="preserve">5.1. При списании отдельных видов муниципального имущества сельского поселения </w:t>
      </w:r>
      <w:r>
        <w:rPr>
          <w:rFonts w:ascii="Times New Roman" w:hAnsi="Times New Roman" w:cs="Times New Roman"/>
          <w:sz w:val="24"/>
          <w:szCs w:val="24"/>
        </w:rPr>
        <w:t>Имянликулевский</w:t>
      </w:r>
      <w:r w:rsidRPr="000A173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Чекмагушевский район Республики Башкортостан организации руководствуются в том числе соответствующими актами, изданными федеральными органами исполнительной власти (Министерством Российской Федерации по делам гражданской обороны, чрезвычайным ситуациям и ликвидации последствий стихийных бедствий, Федеральной службой по экологическому, технологическому и атомному надзору и другими федеральными органами исполнительной власти).</w:t>
      </w:r>
    </w:p>
    <w:p w:rsidR="000A1730" w:rsidRPr="000A1730" w:rsidRDefault="000A1730" w:rsidP="000A173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1730">
        <w:rPr>
          <w:rFonts w:ascii="Times New Roman" w:hAnsi="Times New Roman" w:cs="Times New Roman"/>
          <w:sz w:val="24"/>
          <w:szCs w:val="24"/>
        </w:rPr>
        <w:t>5.2. Споры, возникающие при неисполнении требований настоящего Положения, разрешаются в порядке, установленном законодательством.</w:t>
      </w:r>
      <w:bookmarkEnd w:id="1"/>
    </w:p>
    <w:p w:rsidR="00320F80" w:rsidRPr="00D84EA5" w:rsidRDefault="00320F80" w:rsidP="000A1730">
      <w:pPr>
        <w:pStyle w:val="1"/>
        <w:jc w:val="center"/>
        <w:rPr>
          <w:sz w:val="24"/>
          <w:szCs w:val="24"/>
        </w:rPr>
      </w:pPr>
    </w:p>
    <w:sectPr w:rsidR="00320F80" w:rsidRPr="00D84EA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4FA" w:rsidRDefault="00CE44FA" w:rsidP="000838BC">
      <w:pPr>
        <w:spacing w:after="0" w:line="240" w:lineRule="auto"/>
      </w:pPr>
      <w:r>
        <w:separator/>
      </w:r>
    </w:p>
  </w:endnote>
  <w:endnote w:type="continuationSeparator" w:id="1">
    <w:p w:rsidR="00CE44FA" w:rsidRDefault="00CE44FA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4FA" w:rsidRDefault="00CE44FA" w:rsidP="000838BC">
      <w:pPr>
        <w:spacing w:after="0" w:line="240" w:lineRule="auto"/>
      </w:pPr>
      <w:r>
        <w:separator/>
      </w:r>
    </w:p>
  </w:footnote>
  <w:footnote w:type="continuationSeparator" w:id="1">
    <w:p w:rsidR="00CE44FA" w:rsidRDefault="00CE44FA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C1508"/>
    <w:multiLevelType w:val="hybridMultilevel"/>
    <w:tmpl w:val="BECAF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17290"/>
    <w:rsid w:val="00026B44"/>
    <w:rsid w:val="000838BC"/>
    <w:rsid w:val="000A1730"/>
    <w:rsid w:val="000A5953"/>
    <w:rsid w:val="000A71CB"/>
    <w:rsid w:val="000B24E4"/>
    <w:rsid w:val="000D605B"/>
    <w:rsid w:val="00162278"/>
    <w:rsid w:val="00163739"/>
    <w:rsid w:val="0016538E"/>
    <w:rsid w:val="00175997"/>
    <w:rsid w:val="001B4E8A"/>
    <w:rsid w:val="001B52C3"/>
    <w:rsid w:val="001D5F87"/>
    <w:rsid w:val="00207F43"/>
    <w:rsid w:val="00247C35"/>
    <w:rsid w:val="0025003C"/>
    <w:rsid w:val="002666A1"/>
    <w:rsid w:val="00320F80"/>
    <w:rsid w:val="00327D90"/>
    <w:rsid w:val="003566FA"/>
    <w:rsid w:val="003B38BA"/>
    <w:rsid w:val="003B4BC8"/>
    <w:rsid w:val="0041395E"/>
    <w:rsid w:val="00413E79"/>
    <w:rsid w:val="004155EA"/>
    <w:rsid w:val="004169BD"/>
    <w:rsid w:val="00475D4F"/>
    <w:rsid w:val="00486A6A"/>
    <w:rsid w:val="00497998"/>
    <w:rsid w:val="004C5EF4"/>
    <w:rsid w:val="004D1A0C"/>
    <w:rsid w:val="0056286E"/>
    <w:rsid w:val="00567117"/>
    <w:rsid w:val="005B3FD6"/>
    <w:rsid w:val="005C464A"/>
    <w:rsid w:val="00616741"/>
    <w:rsid w:val="006263D4"/>
    <w:rsid w:val="00671CCF"/>
    <w:rsid w:val="00683435"/>
    <w:rsid w:val="00683D75"/>
    <w:rsid w:val="00684FD7"/>
    <w:rsid w:val="006A5B53"/>
    <w:rsid w:val="006D016F"/>
    <w:rsid w:val="006E2B6A"/>
    <w:rsid w:val="006E67BF"/>
    <w:rsid w:val="0073704B"/>
    <w:rsid w:val="00863989"/>
    <w:rsid w:val="00876E74"/>
    <w:rsid w:val="008A6425"/>
    <w:rsid w:val="008A6898"/>
    <w:rsid w:val="008B2A7C"/>
    <w:rsid w:val="008C20B4"/>
    <w:rsid w:val="008C6C07"/>
    <w:rsid w:val="008D3A4F"/>
    <w:rsid w:val="00914205"/>
    <w:rsid w:val="009307E9"/>
    <w:rsid w:val="00932D6E"/>
    <w:rsid w:val="00934547"/>
    <w:rsid w:val="00955E3D"/>
    <w:rsid w:val="00967F95"/>
    <w:rsid w:val="0098604D"/>
    <w:rsid w:val="009D4C42"/>
    <w:rsid w:val="00A75F96"/>
    <w:rsid w:val="00A763B3"/>
    <w:rsid w:val="00AA0B09"/>
    <w:rsid w:val="00AE1F3E"/>
    <w:rsid w:val="00B300BE"/>
    <w:rsid w:val="00B65B24"/>
    <w:rsid w:val="00BB5F1F"/>
    <w:rsid w:val="00BE45DB"/>
    <w:rsid w:val="00BE4851"/>
    <w:rsid w:val="00C03EEA"/>
    <w:rsid w:val="00C2351E"/>
    <w:rsid w:val="00C638C1"/>
    <w:rsid w:val="00C83D42"/>
    <w:rsid w:val="00CA4F96"/>
    <w:rsid w:val="00CD54F0"/>
    <w:rsid w:val="00CE3622"/>
    <w:rsid w:val="00CE44FA"/>
    <w:rsid w:val="00D10AF7"/>
    <w:rsid w:val="00D11723"/>
    <w:rsid w:val="00D45CD7"/>
    <w:rsid w:val="00D84EA5"/>
    <w:rsid w:val="00DF4C36"/>
    <w:rsid w:val="00E10731"/>
    <w:rsid w:val="00E307CD"/>
    <w:rsid w:val="00E63742"/>
    <w:rsid w:val="00E96866"/>
    <w:rsid w:val="00EF6D13"/>
    <w:rsid w:val="00F26276"/>
    <w:rsid w:val="00F44548"/>
    <w:rsid w:val="00F4549E"/>
    <w:rsid w:val="00F7691E"/>
    <w:rsid w:val="00F92DD6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1">
    <w:name w:val="heading 1"/>
    <w:basedOn w:val="a"/>
    <w:next w:val="a"/>
    <w:link w:val="10"/>
    <w:uiPriority w:val="9"/>
    <w:qFormat/>
    <w:rsid w:val="00D84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464A"/>
  </w:style>
  <w:style w:type="paragraph" w:styleId="ac">
    <w:name w:val="List Paragraph"/>
    <w:basedOn w:val="a"/>
    <w:uiPriority w:val="99"/>
    <w:qFormat/>
    <w:rsid w:val="001B52C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4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Цветовое выделение"/>
    <w:rsid w:val="00D84EA5"/>
    <w:rPr>
      <w:b/>
      <w:color w:val="26282F"/>
    </w:rPr>
  </w:style>
  <w:style w:type="character" w:customStyle="1" w:styleId="ae">
    <w:name w:val="Гипертекстовая ссылка"/>
    <w:basedOn w:val="ad"/>
    <w:rsid w:val="00D84EA5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86367/15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186367/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86367/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Q7</cp:lastModifiedBy>
  <cp:revision>51</cp:revision>
  <cp:lastPrinted>2020-01-16T10:12:00Z</cp:lastPrinted>
  <dcterms:created xsi:type="dcterms:W3CDTF">2015-01-27T10:52:00Z</dcterms:created>
  <dcterms:modified xsi:type="dcterms:W3CDTF">2020-07-08T10:11:00Z</dcterms:modified>
</cp:coreProperties>
</file>